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9BD5C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  <w:r>
        <w:rPr>
          <w:rFonts w:eastAsia="方正小标宋简体"/>
          <w:color w:val="000000"/>
          <w:sz w:val="44"/>
          <w:szCs w:val="44"/>
        </w:rPr>
        <w:t>药品申报信息表</w:t>
      </w:r>
    </w:p>
    <w:p w14:paraId="3B521104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1E68FBC5">
      <w:pPr>
        <w:wordWrap w:val="0"/>
        <w:spacing w:line="480" w:lineRule="auto"/>
        <w:jc w:val="right"/>
        <w:rPr>
          <w:rFonts w:eastAsia="仿宋"/>
          <w:color w:val="000000"/>
          <w:sz w:val="36"/>
          <w:szCs w:val="36"/>
        </w:rPr>
      </w:pPr>
      <w:r>
        <w:rPr>
          <w:rFonts w:hint="eastAsia" w:eastAsia="仿宋"/>
          <w:b/>
          <w:color w:val="000000"/>
          <w:sz w:val="18"/>
          <w:szCs w:val="18"/>
        </w:rPr>
        <w:t xml:space="preserve">(请务必严格按药品说明书及挂网信息填报) </w:t>
      </w:r>
      <w:r>
        <w:rPr>
          <w:rFonts w:hint="eastAsia" w:eastAsia="仿宋"/>
          <w:color w:val="000000"/>
          <w:sz w:val="28"/>
          <w:szCs w:val="28"/>
        </w:rPr>
        <w:t xml:space="preserve">  </w:t>
      </w:r>
      <w:r>
        <w:rPr>
          <w:rFonts w:eastAsia="仿宋"/>
          <w:color w:val="000000"/>
          <w:sz w:val="28"/>
          <w:szCs w:val="28"/>
        </w:rPr>
        <w:t xml:space="preserve">编号：           </w:t>
      </w:r>
    </w:p>
    <w:tbl>
      <w:tblPr>
        <w:tblStyle w:val="2"/>
        <w:tblW w:w="5484" w:type="pct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3412"/>
        <w:gridCol w:w="214"/>
        <w:gridCol w:w="794"/>
        <w:gridCol w:w="296"/>
        <w:gridCol w:w="489"/>
        <w:gridCol w:w="69"/>
        <w:gridCol w:w="3380"/>
      </w:tblGrid>
      <w:tr w14:paraId="0133E5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</w:trPr>
        <w:tc>
          <w:tcPr>
            <w:tcW w:w="878" w:type="pct"/>
            <w:vAlign w:val="center"/>
          </w:tcPr>
          <w:p w14:paraId="2ADC49A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药品通用名</w:t>
            </w:r>
          </w:p>
        </w:tc>
        <w:tc>
          <w:tcPr>
            <w:tcW w:w="1625" w:type="pct"/>
            <w:vAlign w:val="center"/>
          </w:tcPr>
          <w:p w14:paraId="3DA6CFC7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550D3145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商品名</w:t>
            </w:r>
          </w:p>
        </w:tc>
        <w:tc>
          <w:tcPr>
            <w:tcW w:w="1876" w:type="pct"/>
            <w:gridSpan w:val="3"/>
            <w:vAlign w:val="center"/>
          </w:tcPr>
          <w:p w14:paraId="395300E4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2CE841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878" w:type="pct"/>
            <w:vAlign w:val="center"/>
          </w:tcPr>
          <w:p w14:paraId="41A048D6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剂型</w:t>
            </w:r>
          </w:p>
        </w:tc>
        <w:tc>
          <w:tcPr>
            <w:tcW w:w="1625" w:type="pct"/>
            <w:vAlign w:val="center"/>
          </w:tcPr>
          <w:p w14:paraId="212A2DC5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3FD87C9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包装规格</w:t>
            </w:r>
          </w:p>
        </w:tc>
        <w:tc>
          <w:tcPr>
            <w:tcW w:w="1876" w:type="pct"/>
            <w:gridSpan w:val="3"/>
            <w:vAlign w:val="center"/>
          </w:tcPr>
          <w:p w14:paraId="34287E3A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64B17A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878" w:type="pct"/>
            <w:vAlign w:val="center"/>
          </w:tcPr>
          <w:p w14:paraId="2916812C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生产厂家</w:t>
            </w:r>
          </w:p>
        </w:tc>
        <w:tc>
          <w:tcPr>
            <w:tcW w:w="1625" w:type="pct"/>
            <w:vAlign w:val="center"/>
          </w:tcPr>
          <w:p w14:paraId="0917091A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100B498E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批准文号</w:t>
            </w:r>
          </w:p>
        </w:tc>
        <w:tc>
          <w:tcPr>
            <w:tcW w:w="1876" w:type="pct"/>
            <w:gridSpan w:val="3"/>
            <w:vAlign w:val="center"/>
          </w:tcPr>
          <w:p w14:paraId="7AD61B2D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4E01E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878" w:type="pct"/>
            <w:vAlign w:val="center"/>
          </w:tcPr>
          <w:p w14:paraId="1327367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挂网采购类别</w:t>
            </w:r>
          </w:p>
        </w:tc>
        <w:tc>
          <w:tcPr>
            <w:tcW w:w="1625" w:type="pct"/>
            <w:vAlign w:val="center"/>
          </w:tcPr>
          <w:p w14:paraId="102DD57E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  <w:tc>
          <w:tcPr>
            <w:tcW w:w="621" w:type="pct"/>
            <w:gridSpan w:val="3"/>
            <w:vAlign w:val="center"/>
          </w:tcPr>
          <w:p w14:paraId="74F416F4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适用科室</w:t>
            </w:r>
          </w:p>
        </w:tc>
        <w:tc>
          <w:tcPr>
            <w:tcW w:w="1876" w:type="pct"/>
            <w:gridSpan w:val="3"/>
            <w:vAlign w:val="center"/>
          </w:tcPr>
          <w:p w14:paraId="57282ACD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7ED7F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</w:trPr>
        <w:tc>
          <w:tcPr>
            <w:tcW w:w="878" w:type="pct"/>
            <w:vAlign w:val="center"/>
          </w:tcPr>
          <w:p w14:paraId="1C2060E7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药品来源</w:t>
            </w:r>
          </w:p>
        </w:tc>
        <w:tc>
          <w:tcPr>
            <w:tcW w:w="4122" w:type="pct"/>
            <w:gridSpan w:val="7"/>
            <w:vAlign w:val="center"/>
          </w:tcPr>
          <w:p w14:paraId="769A7C04">
            <w:pPr>
              <w:spacing w:line="360" w:lineRule="auto"/>
              <w:ind w:firstLine="360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国产 □</w:t>
            </w:r>
            <w:r>
              <w:rPr>
                <w:rFonts w:hint="eastAsia" w:eastAsia="仿宋"/>
                <w:b/>
                <w:sz w:val="24"/>
              </w:rPr>
              <w:t xml:space="preserve">   </w:t>
            </w:r>
            <w:r>
              <w:rPr>
                <w:rFonts w:eastAsia="仿宋"/>
                <w:b/>
                <w:sz w:val="24"/>
              </w:rPr>
              <w:t>川产 □</w:t>
            </w:r>
            <w:r>
              <w:rPr>
                <w:rFonts w:hint="eastAsia" w:eastAsia="仿宋"/>
                <w:b/>
                <w:sz w:val="24"/>
              </w:rPr>
              <w:t xml:space="preserve">   </w:t>
            </w:r>
            <w:r>
              <w:rPr>
                <w:rFonts w:eastAsia="仿宋"/>
                <w:b/>
                <w:sz w:val="24"/>
              </w:rPr>
              <w:t xml:space="preserve">进口分装 □ </w:t>
            </w:r>
            <w:r>
              <w:rPr>
                <w:rFonts w:hint="eastAsia" w:eastAsia="仿宋"/>
                <w:b/>
                <w:sz w:val="24"/>
              </w:rPr>
              <w:t xml:space="preserve">  </w:t>
            </w:r>
            <w:r>
              <w:rPr>
                <w:rFonts w:eastAsia="仿宋"/>
                <w:b/>
                <w:sz w:val="24"/>
              </w:rPr>
              <w:t>进 口 □</w:t>
            </w:r>
          </w:p>
        </w:tc>
      </w:tr>
      <w:tr w14:paraId="2A8268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5" w:hRule="atLeast"/>
        </w:trPr>
        <w:tc>
          <w:tcPr>
            <w:tcW w:w="878" w:type="pct"/>
            <w:vAlign w:val="center"/>
          </w:tcPr>
          <w:p w14:paraId="1E8F065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报销范围</w:t>
            </w:r>
          </w:p>
        </w:tc>
        <w:tc>
          <w:tcPr>
            <w:tcW w:w="2105" w:type="pct"/>
            <w:gridSpan w:val="3"/>
            <w:vAlign w:val="center"/>
          </w:tcPr>
          <w:p w14:paraId="05E6C8B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医保甲□ 医保乙□ 自费□</w:t>
            </w:r>
          </w:p>
        </w:tc>
        <w:tc>
          <w:tcPr>
            <w:tcW w:w="407" w:type="pct"/>
            <w:gridSpan w:val="3"/>
            <w:vAlign w:val="center"/>
          </w:tcPr>
          <w:p w14:paraId="19FE7899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基药类别</w:t>
            </w:r>
          </w:p>
        </w:tc>
        <w:tc>
          <w:tcPr>
            <w:tcW w:w="1610" w:type="pct"/>
            <w:vAlign w:val="center"/>
          </w:tcPr>
          <w:p w14:paraId="40087207">
            <w:pPr>
              <w:spacing w:line="360" w:lineRule="auto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国家基药□  省补基药□</w:t>
            </w:r>
          </w:p>
          <w:p w14:paraId="17CF5464">
            <w:pPr>
              <w:spacing w:line="360" w:lineRule="auto"/>
              <w:jc w:val="left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非基本药□</w:t>
            </w:r>
          </w:p>
        </w:tc>
      </w:tr>
      <w:tr w14:paraId="41E8B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878" w:type="pct"/>
            <w:vAlign w:val="center"/>
          </w:tcPr>
          <w:p w14:paraId="4FDDDEB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药品本位码</w:t>
            </w:r>
          </w:p>
        </w:tc>
        <w:tc>
          <w:tcPr>
            <w:tcW w:w="4122" w:type="pct"/>
            <w:gridSpan w:val="7"/>
            <w:vAlign w:val="center"/>
          </w:tcPr>
          <w:p w14:paraId="360AA0D3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5926E8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878" w:type="pct"/>
            <w:vAlign w:val="center"/>
          </w:tcPr>
          <w:p w14:paraId="4C58E034">
            <w:pPr>
              <w:spacing w:line="360" w:lineRule="auto"/>
              <w:jc w:val="center"/>
              <w:rPr>
                <w:rFonts w:hint="eastAsia" w:eastAsia="仿宋"/>
                <w:b/>
                <w:sz w:val="24"/>
              </w:rPr>
            </w:pPr>
            <w:r>
              <w:rPr>
                <w:rFonts w:hint="eastAsia" w:eastAsia="仿宋"/>
                <w:b/>
                <w:sz w:val="24"/>
              </w:rPr>
              <w:t>药品ID</w:t>
            </w:r>
          </w:p>
          <w:p w14:paraId="24E87EC2">
            <w:pPr>
              <w:spacing w:line="360" w:lineRule="auto"/>
              <w:jc w:val="center"/>
              <w:rPr>
                <w:rFonts w:eastAsia="仿宋"/>
                <w:b/>
                <w:sz w:val="15"/>
                <w:szCs w:val="15"/>
              </w:rPr>
            </w:pPr>
            <w:r>
              <w:rPr>
                <w:rFonts w:hint="eastAsia" w:eastAsia="仿宋"/>
                <w:b/>
                <w:sz w:val="15"/>
                <w:szCs w:val="15"/>
              </w:rPr>
              <w:t>（省挂网平台）</w:t>
            </w:r>
          </w:p>
        </w:tc>
        <w:tc>
          <w:tcPr>
            <w:tcW w:w="4122" w:type="pct"/>
            <w:gridSpan w:val="7"/>
            <w:vAlign w:val="center"/>
          </w:tcPr>
          <w:p w14:paraId="19E01DCE">
            <w:pPr>
              <w:spacing w:line="360" w:lineRule="auto"/>
              <w:jc w:val="center"/>
              <w:rPr>
                <w:rFonts w:eastAsia="仿宋"/>
                <w:sz w:val="24"/>
              </w:rPr>
            </w:pPr>
          </w:p>
        </w:tc>
      </w:tr>
      <w:tr w14:paraId="68748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42" w:hRule="atLeast"/>
        </w:trPr>
        <w:tc>
          <w:tcPr>
            <w:tcW w:w="878" w:type="pct"/>
            <w:vAlign w:val="center"/>
          </w:tcPr>
          <w:p w14:paraId="4BE035ED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药品简介</w:t>
            </w:r>
          </w:p>
        </w:tc>
        <w:tc>
          <w:tcPr>
            <w:tcW w:w="4122" w:type="pct"/>
            <w:gridSpan w:val="7"/>
          </w:tcPr>
          <w:p w14:paraId="09D02628">
            <w:pPr>
              <w:rPr>
                <w:rFonts w:eastAsia="仿宋"/>
                <w:b/>
                <w:sz w:val="18"/>
                <w:szCs w:val="18"/>
              </w:rPr>
            </w:pPr>
            <w:r>
              <w:rPr>
                <w:rFonts w:eastAsia="仿宋"/>
                <w:b/>
                <w:sz w:val="18"/>
                <w:szCs w:val="18"/>
              </w:rPr>
              <w:t>例:药理类别、主要适应症、用法用量及疗程、储存运输条件、件包装量及空间占位大小（长×宽×高cm）等</w:t>
            </w:r>
          </w:p>
        </w:tc>
      </w:tr>
      <w:tr w14:paraId="6D45A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878" w:type="pct"/>
            <w:vAlign w:val="center"/>
          </w:tcPr>
          <w:p w14:paraId="75C9E89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申报人</w:t>
            </w:r>
          </w:p>
        </w:tc>
        <w:tc>
          <w:tcPr>
            <w:tcW w:w="1727" w:type="pct"/>
            <w:gridSpan w:val="2"/>
            <w:vAlign w:val="center"/>
          </w:tcPr>
          <w:p w14:paraId="2260A8D6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752" w:type="pct"/>
            <w:gridSpan w:val="3"/>
            <w:vAlign w:val="center"/>
          </w:tcPr>
          <w:p w14:paraId="14A64DE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联系电话</w:t>
            </w:r>
          </w:p>
        </w:tc>
        <w:tc>
          <w:tcPr>
            <w:tcW w:w="1643" w:type="pct"/>
            <w:gridSpan w:val="2"/>
            <w:vAlign w:val="center"/>
          </w:tcPr>
          <w:p w14:paraId="414BDC8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</w:tr>
      <w:tr w14:paraId="748923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878" w:type="pct"/>
            <w:vAlign w:val="center"/>
          </w:tcPr>
          <w:p w14:paraId="3F793A19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电子邮箱</w:t>
            </w:r>
          </w:p>
        </w:tc>
        <w:tc>
          <w:tcPr>
            <w:tcW w:w="1727" w:type="pct"/>
            <w:gridSpan w:val="2"/>
            <w:vAlign w:val="center"/>
          </w:tcPr>
          <w:p w14:paraId="7E1B816D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  <w:tc>
          <w:tcPr>
            <w:tcW w:w="752" w:type="pct"/>
            <w:gridSpan w:val="3"/>
            <w:vAlign w:val="center"/>
          </w:tcPr>
          <w:p w14:paraId="6499893E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传    真</w:t>
            </w:r>
          </w:p>
        </w:tc>
        <w:tc>
          <w:tcPr>
            <w:tcW w:w="1643" w:type="pct"/>
            <w:gridSpan w:val="2"/>
            <w:vAlign w:val="center"/>
          </w:tcPr>
          <w:p w14:paraId="2898CF9A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</w:p>
        </w:tc>
      </w:tr>
      <w:tr w14:paraId="17F292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7" w:hRule="atLeast"/>
        </w:trPr>
        <w:tc>
          <w:tcPr>
            <w:tcW w:w="878" w:type="pct"/>
            <w:vAlign w:val="center"/>
          </w:tcPr>
          <w:p w14:paraId="41982C01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申请人</w:t>
            </w:r>
          </w:p>
          <w:p w14:paraId="63C9C0B2">
            <w:pPr>
              <w:spacing w:line="360" w:lineRule="auto"/>
              <w:jc w:val="center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>签  字</w:t>
            </w:r>
          </w:p>
        </w:tc>
        <w:tc>
          <w:tcPr>
            <w:tcW w:w="4122" w:type="pct"/>
            <w:gridSpan w:val="7"/>
            <w:vAlign w:val="bottom"/>
          </w:tcPr>
          <w:p w14:paraId="4EBBAD3E">
            <w:pPr>
              <w:spacing w:line="360" w:lineRule="auto"/>
              <w:ind w:right="480"/>
              <w:jc w:val="right"/>
              <w:rPr>
                <w:rFonts w:eastAsia="仿宋"/>
                <w:b/>
                <w:sz w:val="24"/>
              </w:rPr>
            </w:pPr>
            <w:r>
              <w:rPr>
                <w:rFonts w:eastAsia="仿宋"/>
                <w:b/>
                <w:sz w:val="24"/>
              </w:rPr>
              <w:t xml:space="preserve">          年   月   日</w:t>
            </w:r>
          </w:p>
        </w:tc>
      </w:tr>
    </w:tbl>
    <w:p w14:paraId="700CA762">
      <w:pPr>
        <w:spacing w:line="360" w:lineRule="auto"/>
        <w:ind w:left="1080" w:hanging="1080" w:hangingChars="450"/>
        <w:rPr>
          <w:rFonts w:eastAsia="仿宋_GB2312"/>
          <w:sz w:val="24"/>
        </w:rPr>
      </w:pPr>
      <w:r>
        <w:rPr>
          <w:rFonts w:eastAsia="仿宋_GB2312"/>
          <w:sz w:val="24"/>
        </w:rPr>
        <w:t>备注：1、</w:t>
      </w:r>
      <w:r>
        <w:rPr>
          <w:rFonts w:hint="eastAsia" w:eastAsia="仿宋_GB2312"/>
          <w:sz w:val="24"/>
          <w:lang w:eastAsia="zh-CN"/>
        </w:rPr>
        <w:t>医保</w:t>
      </w:r>
      <w:r>
        <w:rPr>
          <w:rFonts w:eastAsia="仿宋_GB2312"/>
          <w:sz w:val="24"/>
        </w:rPr>
        <w:t>信息以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202</w:t>
      </w:r>
      <w:r>
        <w:rPr>
          <w:rFonts w:hint="eastAsia" w:eastAsia="仿宋_GB2312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eastAsia="仿宋_GB2312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月1日起执行的《国家基本医疗保险、工伤保险和生育保险药品目录》</w:t>
      </w:r>
      <w:r>
        <w:rPr>
          <w:rFonts w:eastAsia="仿宋_GB2312"/>
          <w:sz w:val="24"/>
        </w:rPr>
        <w:t>为准；</w:t>
      </w:r>
    </w:p>
    <w:p w14:paraId="5E05F9C3">
      <w:pPr>
        <w:ind w:firstLine="720" w:firstLineChars="300"/>
        <w:rPr>
          <w:rFonts w:eastAsia="仿宋_GB2312"/>
        </w:rPr>
      </w:pPr>
      <w:r>
        <w:rPr>
          <w:rFonts w:eastAsia="仿宋_GB2312"/>
          <w:sz w:val="24"/>
        </w:rPr>
        <w:t>2、编号为现场登记的报名号。</w:t>
      </w:r>
    </w:p>
    <w:p w14:paraId="6EE41C1C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320FD4E9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p w14:paraId="35CBCD18">
      <w:pPr>
        <w:spacing w:line="600" w:lineRule="exact"/>
        <w:jc w:val="center"/>
        <w:rPr>
          <w:rFonts w:hint="eastAsia" w:eastAsia="方正小标宋简体"/>
          <w:color w:val="000000"/>
          <w:sz w:val="44"/>
          <w:szCs w:val="44"/>
          <w:lang w:val="en-US" w:eastAsia="zh-CN"/>
        </w:rPr>
      </w:pPr>
      <w:r>
        <w:rPr>
          <w:rFonts w:eastAsia="方正小标宋简体"/>
          <w:color w:val="000000"/>
          <w:sz w:val="44"/>
          <w:szCs w:val="44"/>
        </w:rPr>
        <w:t>药品</w:t>
      </w:r>
      <w:r>
        <w:rPr>
          <w:rFonts w:hint="eastAsia" w:eastAsia="方正小标宋简体"/>
          <w:color w:val="000000"/>
          <w:sz w:val="44"/>
          <w:szCs w:val="44"/>
          <w:lang w:eastAsia="zh-CN"/>
        </w:rPr>
        <w:t>基本信息</w:t>
      </w:r>
    </w:p>
    <w:p w14:paraId="5D221832">
      <w:pPr>
        <w:spacing w:line="600" w:lineRule="exact"/>
        <w:jc w:val="center"/>
        <w:rPr>
          <w:rFonts w:eastAsia="方正小标宋简体"/>
          <w:color w:val="000000"/>
          <w:sz w:val="44"/>
          <w:szCs w:val="44"/>
        </w:rPr>
      </w:pPr>
    </w:p>
    <w:tbl>
      <w:tblPr>
        <w:tblStyle w:val="3"/>
        <w:tblW w:w="9716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3"/>
        <w:gridCol w:w="1515"/>
        <w:gridCol w:w="1872"/>
        <w:gridCol w:w="3984"/>
        <w:gridCol w:w="1632"/>
      </w:tblGrid>
      <w:tr w14:paraId="1ADB33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tblHeader/>
        </w:trPr>
        <w:tc>
          <w:tcPr>
            <w:tcW w:w="713" w:type="dxa"/>
            <w:shd w:val="clear" w:color="auto" w:fill="D9E2F3" w:themeFill="accent1" w:themeFillTint="33"/>
            <w:vAlign w:val="center"/>
          </w:tcPr>
          <w:p w14:paraId="4303F91C">
            <w:pPr>
              <w:spacing w:line="2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维度</w:t>
            </w:r>
          </w:p>
        </w:tc>
        <w:tc>
          <w:tcPr>
            <w:tcW w:w="1515" w:type="dxa"/>
            <w:shd w:val="clear" w:color="auto" w:fill="D9E2F3" w:themeFill="accent1" w:themeFillTint="33"/>
            <w:vAlign w:val="center"/>
          </w:tcPr>
          <w:p w14:paraId="4767D928">
            <w:pPr>
              <w:spacing w:line="2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指标</w:t>
            </w:r>
          </w:p>
        </w:tc>
        <w:tc>
          <w:tcPr>
            <w:tcW w:w="5856" w:type="dxa"/>
            <w:gridSpan w:val="2"/>
            <w:shd w:val="clear" w:color="auto" w:fill="D9E2F3" w:themeFill="accent1" w:themeFillTint="33"/>
            <w:vAlign w:val="center"/>
          </w:tcPr>
          <w:p w14:paraId="7121B6D4">
            <w:pPr>
              <w:spacing w:line="2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细则</w:t>
            </w:r>
          </w:p>
        </w:tc>
        <w:tc>
          <w:tcPr>
            <w:tcW w:w="1632" w:type="dxa"/>
            <w:shd w:val="clear" w:color="auto" w:fill="D9E2F3" w:themeFill="accent1" w:themeFillTint="33"/>
            <w:vAlign w:val="center"/>
          </w:tcPr>
          <w:p w14:paraId="45273032">
            <w:pPr>
              <w:spacing w:line="240" w:lineRule="exact"/>
              <w:jc w:val="center"/>
              <w:rPr>
                <w:rFonts w:hint="eastAsia" w:eastAsiaTheme="minorEastAsia"/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注意事项</w:t>
            </w:r>
          </w:p>
        </w:tc>
      </w:tr>
      <w:tr w14:paraId="259A6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restart"/>
            <w:shd w:val="clear" w:color="auto" w:fill="auto"/>
            <w:vAlign w:val="center"/>
          </w:tcPr>
          <w:p w14:paraId="65CEA825">
            <w:pPr>
              <w:jc w:val="center"/>
              <w:rPr>
                <w:rFonts w:hint="eastAsia" w:eastAsiaTheme="minorEastAsia"/>
                <w:b/>
                <w:sz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药品属性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012C1221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.药剂学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49E7BB62">
            <w:pPr>
              <w:jc w:val="left"/>
              <w:rPr>
                <w:rFonts w:hint="eastAsia" w:ascii="仿宋" w:hAnsi="仿宋" w:eastAsia="仿宋" w:cs="宋体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剂型适宜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39028105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口服制剂、外用制剂</w:t>
            </w:r>
          </w:p>
          <w:p w14:paraId="241A2A1A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皮下注射、肌内注射、肌肉注射</w:t>
            </w:r>
          </w:p>
          <w:p w14:paraId="7273E67A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静脉注射、静脉滴注</w:t>
            </w:r>
          </w:p>
        </w:tc>
        <w:tc>
          <w:tcPr>
            <w:tcW w:w="1632" w:type="dxa"/>
            <w:vMerge w:val="restart"/>
            <w:shd w:val="clear" w:color="auto" w:fill="auto"/>
            <w:vAlign w:val="center"/>
          </w:tcPr>
          <w:p w14:paraId="13BABF2C">
            <w:pPr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请提供药品说明书原件，盖鲜章</w:t>
            </w:r>
          </w:p>
        </w:tc>
      </w:tr>
      <w:tr w14:paraId="5249B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1873D554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restart"/>
            <w:shd w:val="clear" w:color="auto" w:fill="auto"/>
            <w:vAlign w:val="center"/>
          </w:tcPr>
          <w:p w14:paraId="7F5C148A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2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依从性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61E8FC56">
            <w:pPr>
              <w:jc w:val="left"/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给药剂量便于掌握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5020D2A4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疗程中无需更改用药剂量</w:t>
            </w:r>
            <w:r>
              <w:rPr>
                <w:rFonts w:ascii="仿宋" w:hAnsi="仿宋" w:eastAsia="仿宋"/>
                <w:sz w:val="24"/>
                <w:szCs w:val="24"/>
              </w:rPr>
              <w:t>. 无需根据体重、体表面积计算用药剂量</w:t>
            </w:r>
          </w:p>
          <w:p w14:paraId="3B6DBAA9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疗程中需更改用药剂量，如首剂加倍、根据检验值更改剂量等</w:t>
            </w:r>
          </w:p>
          <w:p w14:paraId="41DED1A5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需根据体重、体表面积计算用药剂量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3B288563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3391E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0E7FAF7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continue"/>
            <w:shd w:val="clear" w:color="auto" w:fill="auto"/>
            <w:vAlign w:val="center"/>
          </w:tcPr>
          <w:p w14:paraId="4CC53D54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43D8ED14">
            <w:pPr>
              <w:jc w:val="left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给药频次适宜</w:t>
            </w:r>
          </w:p>
          <w:p w14:paraId="5A63912E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给药频次每日一次或低于每日一次</w:t>
            </w:r>
          </w:p>
          <w:p w14:paraId="609F4FB7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给药频次每日两次</w:t>
            </w:r>
          </w:p>
          <w:p w14:paraId="6B6CE134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给药频次每日三次</w:t>
            </w:r>
          </w:p>
          <w:p w14:paraId="7B0D3BC0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给药频次每日四次及以上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6A4E80E5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29799B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3030147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vMerge w:val="continue"/>
            <w:shd w:val="clear" w:color="auto" w:fill="auto"/>
            <w:vAlign w:val="center"/>
          </w:tcPr>
          <w:p w14:paraId="74258A7C">
            <w:pPr>
              <w:widowControl/>
              <w:jc w:val="left"/>
              <w:textAlignment w:val="center"/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40D1B06E">
            <w:pPr>
              <w:jc w:val="left"/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仿宋" w:hAnsi="仿宋" w:eastAsia="仿宋"/>
                <w:b/>
                <w:sz w:val="24"/>
              </w:rPr>
              <w:t>给药方法便于掌握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  <w:p w14:paraId="7F3CFB28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患者无需医务人员或他人辅助，可自行给药</w:t>
            </w:r>
          </w:p>
          <w:p w14:paraId="3FCF6F26">
            <w:pPr>
              <w:jc w:val="left"/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患者无需医务人员辅助，可在他人帮助下或被明确告知药品使用方法下自行给药</w:t>
            </w:r>
          </w:p>
          <w:p w14:paraId="20B7928F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患者需要医务人员帮助，需要医务人员给药</w:t>
            </w:r>
          </w:p>
        </w:tc>
        <w:tc>
          <w:tcPr>
            <w:tcW w:w="1632" w:type="dxa"/>
            <w:vMerge w:val="continue"/>
            <w:shd w:val="clear" w:color="auto" w:fill="auto"/>
            <w:vAlign w:val="center"/>
          </w:tcPr>
          <w:p w14:paraId="157BB690">
            <w:pPr>
              <w:jc w:val="left"/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6715BB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425C2962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28124F42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3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有效期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426D159D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</w:rPr>
              <w:t>有效期≥</w:t>
            </w:r>
            <w:r>
              <w:rPr>
                <w:rFonts w:ascii="仿宋" w:hAnsi="仿宋" w:eastAsia="仿宋"/>
                <w:sz w:val="24"/>
              </w:rPr>
              <w:t>36个月</w:t>
            </w:r>
          </w:p>
          <w:p w14:paraId="5FF3E5F7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</w:rPr>
              <w:t xml:space="preserve"> 24个月≤有效期＜36个月</w:t>
            </w:r>
          </w:p>
          <w:p w14:paraId="787636BB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有效期＜</w:t>
            </w:r>
            <w:r>
              <w:rPr>
                <w:rFonts w:ascii="仿宋" w:hAnsi="仿宋" w:eastAsia="仿宋"/>
                <w:sz w:val="24"/>
              </w:rPr>
              <w:t>24个月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57FF4799">
            <w:pPr>
              <w:jc w:val="left"/>
              <w:rPr>
                <w:rFonts w:hint="eastAsia" w:ascii="仿宋" w:hAnsi="仿宋" w:eastAsia="仿宋"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请提供最小包装盒原件</w:t>
            </w:r>
          </w:p>
        </w:tc>
      </w:tr>
      <w:tr w14:paraId="7EF25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shd w:val="clear" w:color="auto" w:fill="auto"/>
            <w:vAlign w:val="center"/>
          </w:tcPr>
          <w:p w14:paraId="03D1B4B7">
            <w:pPr>
              <w:jc w:val="center"/>
              <w:rPr>
                <w:b/>
                <w:sz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1986A222">
            <w:pPr>
              <w:widowControl/>
              <w:jc w:val="left"/>
              <w:textAlignment w:val="center"/>
              <w:rPr>
                <w:rFonts w:hint="eastAsia" w:ascii="仿宋" w:hAnsi="仿宋" w:eastAsia="仿宋" w:cs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>4</w:t>
            </w:r>
            <w:r>
              <w:rPr>
                <w:rFonts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.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bidi="ar"/>
              </w:rPr>
              <w:t>贮存条件</w:t>
            </w:r>
            <w:r>
              <w:rPr>
                <w:rFonts w:hint="eastAsia" w:ascii="仿宋" w:hAnsi="仿宋" w:eastAsia="仿宋" w:cs="宋体"/>
                <w:b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</w:p>
        </w:tc>
        <w:tc>
          <w:tcPr>
            <w:tcW w:w="5856" w:type="dxa"/>
            <w:gridSpan w:val="2"/>
            <w:shd w:val="clear" w:color="auto" w:fill="auto"/>
            <w:vAlign w:val="center"/>
          </w:tcPr>
          <w:p w14:paraId="11A1991C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常温</w:t>
            </w:r>
          </w:p>
          <w:p w14:paraId="3F5A78A3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sym w:font="Wingdings 2" w:char="00A3"/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常温，避光</w:t>
            </w:r>
            <w:r>
              <w:rPr>
                <w:rFonts w:ascii="仿宋" w:hAnsi="仿宋" w:eastAsia="仿宋"/>
                <w:sz w:val="24"/>
              </w:rPr>
              <w:t>/遮光</w:t>
            </w:r>
          </w:p>
          <w:p w14:paraId="4FE4B872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阴凉</w:t>
            </w:r>
          </w:p>
          <w:p w14:paraId="37B19158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阴凉，避光</w:t>
            </w:r>
            <w:r>
              <w:rPr>
                <w:rFonts w:ascii="仿宋" w:hAnsi="仿宋" w:eastAsia="仿宋"/>
                <w:sz w:val="24"/>
              </w:rPr>
              <w:t>/遮光</w:t>
            </w:r>
          </w:p>
          <w:p w14:paraId="60C543B0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□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冷藏</w:t>
            </w:r>
            <w:r>
              <w:rPr>
                <w:rFonts w:ascii="仿宋" w:hAnsi="仿宋" w:eastAsia="仿宋"/>
                <w:sz w:val="24"/>
              </w:rPr>
              <w:t>/冷冻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3389AF70">
            <w:pPr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请提供药品说明书原件，盖鲜章</w:t>
            </w:r>
          </w:p>
        </w:tc>
      </w:tr>
      <w:tr w14:paraId="06047A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7" w:hRule="atLeast"/>
        </w:trPr>
        <w:tc>
          <w:tcPr>
            <w:tcW w:w="713" w:type="dxa"/>
            <w:shd w:val="clear" w:color="auto" w:fill="auto"/>
            <w:vAlign w:val="center"/>
          </w:tcPr>
          <w:p w14:paraId="33E45F9C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有效性</w:t>
            </w:r>
          </w:p>
          <w:p w14:paraId="487FB4C0">
            <w:pPr>
              <w:jc w:val="center"/>
              <w:rPr>
                <w:rFonts w:hint="eastAsia" w:eastAsiaTheme="minorEastAsia"/>
                <w:b/>
                <w:sz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7371" w:type="dxa"/>
            <w:gridSpan w:val="3"/>
            <w:shd w:val="clear" w:color="auto" w:fill="auto"/>
            <w:vAlign w:val="center"/>
          </w:tcPr>
          <w:p w14:paraId="2D0A2C61">
            <w:pPr>
              <w:jc w:val="left"/>
              <w:rPr>
                <w:rFonts w:ascii="仿宋" w:hAnsi="仿宋" w:eastAsia="仿宋" w:cs="宋体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>20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国家卫生行政部门出台的相关用药指导性文件</w:t>
            </w:r>
            <w:r>
              <w:rPr>
                <w:rFonts w:hint="eastAsia" w:ascii="仿宋" w:hAnsi="仿宋" w:eastAsia="仿宋" w:cs="宋体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（诊疗规范</w:t>
            </w:r>
            <w:r>
              <w:rPr>
                <w:rFonts w:hint="eastAsia" w:ascii="仿宋" w:hAnsi="仿宋" w:eastAsia="仿宋" w:cs="宋体"/>
                <w:b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  <w:t>、指导原则</w:t>
            </w:r>
            <w:r>
              <w:rPr>
                <w:rFonts w:hint="eastAsia" w:ascii="仿宋" w:hAnsi="仿宋" w:eastAsia="仿宋" w:cs="宋体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）</w:t>
            </w:r>
          </w:p>
          <w:p w14:paraId="1C4ACB1C">
            <w:pPr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eastAsia="zh-CN"/>
              </w:rPr>
              <w:t>□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 xml:space="preserve">18 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eastAsia="zh-CN"/>
              </w:rPr>
              <w:t>临床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  <w:t>指南推荐一线用药</w:t>
            </w:r>
          </w:p>
          <w:p w14:paraId="78C60BCE">
            <w:pPr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 xml:space="preserve">16 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eastAsia="zh-CN"/>
              </w:rPr>
              <w:t>临床</w:t>
            </w:r>
            <w:r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  <w:t>指南推荐非一线用药</w:t>
            </w:r>
          </w:p>
          <w:p w14:paraId="647FF65E">
            <w:pPr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eastAsia="zh-CN"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 xml:space="preserve">14 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eastAsia="zh-CN"/>
              </w:rPr>
              <w:t>专家共识推荐</w:t>
            </w:r>
          </w:p>
          <w:p w14:paraId="613A011A">
            <w:pPr>
              <w:jc w:val="left"/>
              <w:rPr>
                <w:rFonts w:hint="eastAsia"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val="en-US" w:eastAsia="zh-CN"/>
              </w:rPr>
              <w:t>10 多中心临床研究推荐</w:t>
            </w:r>
          </w:p>
          <w:p w14:paraId="1731AFFC">
            <w:pPr>
              <w:jc w:val="left"/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bidi="ar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val="en-US" w:eastAsia="zh-CN"/>
              </w:rPr>
              <w:t xml:space="preserve">8 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 xml:space="preserve"> </w:t>
            </w:r>
            <w:r>
              <w:rPr>
                <w:rFonts w:ascii="仿宋" w:hAnsi="仿宋" w:eastAsia="仿宋" w:cs="宋体"/>
                <w:color w:val="000000"/>
                <w:kern w:val="0"/>
                <w:sz w:val="24"/>
                <w:szCs w:val="24"/>
                <w:highlight w:val="none"/>
                <w:lang w:bidi="ar"/>
              </w:rPr>
              <w:t>专家观点及其他证据</w:t>
            </w:r>
          </w:p>
          <w:p w14:paraId="07C17C02">
            <w:pPr>
              <w:jc w:val="left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color w:val="000000"/>
                <w:sz w:val="24"/>
                <w:highlight w:val="none"/>
              </w:rPr>
              <w:t>□</w:t>
            </w:r>
            <w:r>
              <w:rPr>
                <w:rFonts w:hint="eastAsia" w:ascii="仿宋" w:hAnsi="仿宋" w:eastAsia="仿宋"/>
                <w:color w:val="000000"/>
                <w:sz w:val="24"/>
                <w:highlight w:val="none"/>
                <w:lang w:val="en-US" w:eastAsia="zh-CN"/>
              </w:rPr>
              <w:t>0</w:t>
            </w:r>
            <w:r>
              <w:rPr>
                <w:rFonts w:ascii="仿宋" w:hAnsi="仿宋" w:eastAsia="仿宋"/>
                <w:color w:val="000000"/>
                <w:sz w:val="24"/>
                <w:highlight w:val="none"/>
              </w:rPr>
              <w:t xml:space="preserve">  </w:t>
            </w:r>
            <w:r>
              <w:rPr>
                <w:rFonts w:hint="eastAsia" w:ascii="仿宋" w:hAnsi="仿宋" w:eastAsia="仿宋" w:cs="宋体"/>
                <w:b/>
                <w:color w:val="000000"/>
                <w:kern w:val="0"/>
                <w:sz w:val="24"/>
                <w:szCs w:val="24"/>
                <w:highlight w:val="none"/>
                <w:lang w:bidi="ar"/>
              </w:rPr>
              <w:t>无以上推荐</w:t>
            </w:r>
          </w:p>
        </w:tc>
        <w:tc>
          <w:tcPr>
            <w:tcW w:w="1632" w:type="dxa"/>
            <w:shd w:val="clear" w:color="auto" w:fill="auto"/>
            <w:vAlign w:val="center"/>
          </w:tcPr>
          <w:p w14:paraId="29AFD004">
            <w:pPr>
              <w:jc w:val="left"/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请提最新指南复印件，盖鲜章</w:t>
            </w:r>
          </w:p>
        </w:tc>
      </w:tr>
      <w:tr w14:paraId="3DA42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2" w:hRule="atLeast"/>
        </w:trPr>
        <w:tc>
          <w:tcPr>
            <w:tcW w:w="713" w:type="dxa"/>
            <w:vMerge w:val="restart"/>
            <w:vAlign w:val="center"/>
          </w:tcPr>
          <w:p w14:paraId="731D3516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安全性</w:t>
            </w:r>
          </w:p>
          <w:p w14:paraId="3C883826"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77CD8DAC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1.不良反应分级或</w:t>
            </w:r>
          </w:p>
          <w:p w14:paraId="4E32DD4C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依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据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CTCAE分级</w:t>
            </w:r>
          </w:p>
          <w:p w14:paraId="4DA91B15">
            <w:pPr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108AE8F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轻度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（症状轻微，无需治疗）或CTCAE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sz w:val="24"/>
                <w:szCs w:val="24"/>
              </w:rPr>
              <w:t>-2级</w:t>
            </w:r>
          </w:p>
          <w:p w14:paraId="69EB34C8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中度</w:t>
            </w:r>
            <w:r>
              <w:rPr>
                <w:rFonts w:ascii="仿宋" w:hAnsi="仿宋" w:eastAsia="仿宋"/>
                <w:sz w:val="24"/>
                <w:szCs w:val="24"/>
              </w:rPr>
              <w:t>（症状明显，需要干预）或CTCAE 3级</w:t>
            </w:r>
          </w:p>
          <w:p w14:paraId="3246055C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重度</w:t>
            </w:r>
            <w:r>
              <w:rPr>
                <w:rFonts w:ascii="仿宋" w:hAnsi="仿宋" w:eastAsia="仿宋"/>
                <w:sz w:val="24"/>
                <w:szCs w:val="24"/>
              </w:rPr>
              <w:t>（症状严重，危及生命）或CTCAE 4-5级，发生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率＜</w:t>
            </w:r>
            <w:r>
              <w:rPr>
                <w:rFonts w:ascii="仿宋" w:hAnsi="仿宋" w:eastAsia="仿宋"/>
                <w:sz w:val="24"/>
                <w:szCs w:val="24"/>
              </w:rPr>
              <w:t>0.01%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十分罕见</w:t>
            </w:r>
          </w:p>
          <w:p w14:paraId="24084A0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重度</w:t>
            </w:r>
            <w:r>
              <w:rPr>
                <w:rFonts w:ascii="仿宋" w:hAnsi="仿宋" w:eastAsia="仿宋"/>
                <w:sz w:val="24"/>
                <w:szCs w:val="24"/>
              </w:rPr>
              <w:t>（症状严重，危及生命）或CTCAE 4-5级，发生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率（</w:t>
            </w:r>
            <w:r>
              <w:rPr>
                <w:rFonts w:ascii="仿宋" w:hAnsi="仿宋" w:eastAsia="仿宋"/>
                <w:sz w:val="24"/>
                <w:szCs w:val="24"/>
              </w:rPr>
              <w:t>0.1%-0.01%，含0.01%）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罕见</w:t>
            </w:r>
          </w:p>
          <w:p w14:paraId="77F641C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重度</w:t>
            </w:r>
            <w:r>
              <w:rPr>
                <w:rFonts w:ascii="仿宋" w:hAnsi="仿宋" w:eastAsia="仿宋"/>
                <w:sz w:val="24"/>
                <w:szCs w:val="24"/>
              </w:rPr>
              <w:t>（症状严重，危及生命）或CTCAE 4-5级，发生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率（</w:t>
            </w:r>
            <w:r>
              <w:rPr>
                <w:rFonts w:ascii="仿宋" w:hAnsi="仿宋" w:eastAsia="仿宋"/>
                <w:sz w:val="24"/>
                <w:szCs w:val="24"/>
              </w:rPr>
              <w:t>1%-0.1%，含0.1%）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偶见</w:t>
            </w:r>
          </w:p>
          <w:p w14:paraId="3877564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重度</w:t>
            </w:r>
            <w:r>
              <w:rPr>
                <w:rFonts w:ascii="仿宋" w:hAnsi="仿宋" w:eastAsia="仿宋"/>
                <w:sz w:val="24"/>
                <w:szCs w:val="24"/>
              </w:rPr>
              <w:t>（症状严重，危及生命）或CTCAE 4-5级，发生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率（</w:t>
            </w:r>
            <w:r>
              <w:rPr>
                <w:rFonts w:ascii="仿宋" w:hAnsi="仿宋" w:eastAsia="仿宋"/>
                <w:sz w:val="24"/>
                <w:szCs w:val="24"/>
              </w:rPr>
              <w:t>1%-10%，含1%）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常见</w:t>
            </w:r>
          </w:p>
          <w:p w14:paraId="0BC11F5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重度</w:t>
            </w:r>
            <w:r>
              <w:rPr>
                <w:rFonts w:ascii="仿宋" w:hAnsi="仿宋" w:eastAsia="仿宋"/>
                <w:sz w:val="24"/>
                <w:szCs w:val="24"/>
              </w:rPr>
              <w:t>（症状严重，危及生命）或CTCAE 4-5级，发生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率＞</w:t>
            </w:r>
            <w:r>
              <w:rPr>
                <w:rFonts w:ascii="仿宋" w:hAnsi="仿宋" w:eastAsia="仿宋"/>
                <w:sz w:val="24"/>
                <w:szCs w:val="24"/>
              </w:rPr>
              <w:t>10%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十分常见</w:t>
            </w:r>
          </w:p>
        </w:tc>
        <w:tc>
          <w:tcPr>
            <w:tcW w:w="1632" w:type="dxa"/>
            <w:vMerge w:val="restart"/>
            <w:vAlign w:val="center"/>
          </w:tcPr>
          <w:p w14:paraId="2D4560FF">
            <w:pPr>
              <w:rPr>
                <w:rFonts w:hint="default" w:ascii="仿宋" w:hAnsi="仿宋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>请提供证据，盖鲜章</w:t>
            </w:r>
          </w:p>
        </w:tc>
      </w:tr>
      <w:tr w14:paraId="5B2EDA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6C85CA51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64097F0B">
            <w:pPr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.特殊人群</w:t>
            </w:r>
          </w:p>
          <w:p w14:paraId="0F36C058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可多选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)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872" w:type="dxa"/>
            <w:vAlign w:val="center"/>
          </w:tcPr>
          <w:p w14:paraId="79E5A77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儿童可用</w:t>
            </w:r>
          </w:p>
          <w:p w14:paraId="3205AA7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老人可用</w:t>
            </w:r>
          </w:p>
          <w:p w14:paraId="57037607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妊娠期</w:t>
            </w:r>
            <w:r>
              <w:rPr>
                <w:rFonts w:ascii="仿宋" w:hAnsi="仿宋" w:eastAsia="仿宋"/>
                <w:sz w:val="24"/>
                <w:szCs w:val="24"/>
              </w:rPr>
              <w:t>可用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</w:p>
          <w:p w14:paraId="4FA881EC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哺乳期可用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*</w:t>
            </w:r>
          </w:p>
          <w:p w14:paraId="1D8121A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肝功能异常可用</w:t>
            </w:r>
          </w:p>
          <w:p w14:paraId="1D18FDE1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肾功能异常可用</w:t>
            </w:r>
          </w:p>
        </w:tc>
        <w:tc>
          <w:tcPr>
            <w:tcW w:w="3984" w:type="dxa"/>
            <w:vAlign w:val="center"/>
          </w:tcPr>
          <w:p w14:paraId="22C71D27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评分权重：</w:t>
            </w:r>
          </w:p>
          <w:p w14:paraId="1D54B0EE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可用(无需调整)：</w:t>
            </w:r>
            <w:r>
              <w:rPr>
                <w:rFonts w:ascii="仿宋" w:hAnsi="仿宋" w:eastAsia="仿宋" w:cs="Arial"/>
                <w:sz w:val="22"/>
                <w:szCs w:val="24"/>
              </w:rPr>
              <w:t>×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1</w:t>
            </w:r>
          </w:p>
          <w:p w14:paraId="3AA9DC5C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可用(酌情减量)：</w:t>
            </w:r>
            <w:r>
              <w:rPr>
                <w:rFonts w:ascii="仿宋" w:hAnsi="仿宋" w:eastAsia="仿宋" w:cs="Arial"/>
                <w:sz w:val="22"/>
                <w:szCs w:val="24"/>
              </w:rPr>
              <w:t>×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0.8</w:t>
            </w:r>
          </w:p>
          <w:p w14:paraId="69577B81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慎用/权衡利弊：</w:t>
            </w:r>
            <w:r>
              <w:rPr>
                <w:rFonts w:ascii="仿宋" w:hAnsi="仿宋" w:eastAsia="仿宋" w:cs="Arial"/>
                <w:sz w:val="22"/>
                <w:szCs w:val="24"/>
              </w:rPr>
              <w:t>×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0.5</w:t>
            </w:r>
          </w:p>
          <w:p w14:paraId="18C637F2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禁用/避免使用：</w:t>
            </w:r>
            <w:r>
              <w:rPr>
                <w:rFonts w:ascii="仿宋" w:hAnsi="仿宋" w:eastAsia="仿宋" w:cs="Arial"/>
                <w:sz w:val="22"/>
                <w:szCs w:val="24"/>
              </w:rPr>
              <w:t>×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0</w:t>
            </w:r>
          </w:p>
          <w:p w14:paraId="0C1825E8">
            <w:pPr>
              <w:spacing w:before="156" w:beforeLines="50"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*妊娠/哺乳安全权重：</w:t>
            </w:r>
          </w:p>
          <w:p w14:paraId="61846578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A</w:t>
            </w:r>
            <w:r>
              <w:rPr>
                <w:rFonts w:ascii="仿宋" w:hAnsi="仿宋" w:eastAsia="仿宋"/>
                <w:sz w:val="22"/>
                <w:szCs w:val="24"/>
              </w:rPr>
              <w:t>/L1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：×</w:t>
            </w:r>
            <w:r>
              <w:rPr>
                <w:rFonts w:ascii="仿宋" w:hAnsi="仿宋" w:eastAsia="仿宋"/>
                <w:sz w:val="22"/>
                <w:szCs w:val="24"/>
              </w:rPr>
              <w:t>1</w:t>
            </w:r>
          </w:p>
          <w:p w14:paraId="4352F20F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ascii="仿宋" w:hAnsi="仿宋" w:eastAsia="仿宋"/>
                <w:sz w:val="22"/>
                <w:szCs w:val="24"/>
              </w:rPr>
              <w:t>B/L2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：×</w:t>
            </w:r>
            <w:r>
              <w:rPr>
                <w:rFonts w:ascii="仿宋" w:hAnsi="仿宋" w:eastAsia="仿宋"/>
                <w:sz w:val="22"/>
                <w:szCs w:val="24"/>
              </w:rPr>
              <w:t>0.8</w:t>
            </w:r>
          </w:p>
          <w:p w14:paraId="4743F5D5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ascii="仿宋" w:hAnsi="仿宋" w:eastAsia="仿宋"/>
                <w:sz w:val="22"/>
                <w:szCs w:val="24"/>
              </w:rPr>
              <w:t>C/L3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：×</w:t>
            </w:r>
            <w:r>
              <w:rPr>
                <w:rFonts w:ascii="仿宋" w:hAnsi="仿宋" w:eastAsia="仿宋"/>
                <w:sz w:val="22"/>
                <w:szCs w:val="24"/>
              </w:rPr>
              <w:t>0.5</w:t>
            </w:r>
          </w:p>
          <w:p w14:paraId="1908A1DA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ascii="仿宋" w:hAnsi="仿宋" w:eastAsia="仿宋"/>
                <w:sz w:val="22"/>
                <w:szCs w:val="24"/>
              </w:rPr>
              <w:t>D/L4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：×</w:t>
            </w:r>
            <w:r>
              <w:rPr>
                <w:rFonts w:ascii="仿宋" w:hAnsi="仿宋" w:eastAsia="仿宋"/>
                <w:sz w:val="22"/>
                <w:szCs w:val="24"/>
              </w:rPr>
              <w:t>0.3</w:t>
            </w:r>
          </w:p>
          <w:p w14:paraId="51E42554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  <w:r>
              <w:rPr>
                <w:rFonts w:ascii="仿宋" w:hAnsi="仿宋" w:eastAsia="仿宋"/>
                <w:sz w:val="22"/>
                <w:szCs w:val="24"/>
              </w:rPr>
              <w:t>X/L5</w:t>
            </w:r>
            <w:r>
              <w:rPr>
                <w:rFonts w:hint="eastAsia" w:ascii="仿宋" w:hAnsi="仿宋" w:eastAsia="仿宋"/>
                <w:sz w:val="22"/>
                <w:szCs w:val="24"/>
              </w:rPr>
              <w:t>：×</w:t>
            </w:r>
            <w:r>
              <w:rPr>
                <w:rFonts w:ascii="仿宋" w:hAnsi="仿宋" w:eastAsia="仿宋"/>
                <w:sz w:val="22"/>
                <w:szCs w:val="24"/>
              </w:rPr>
              <w:t>0</w:t>
            </w:r>
          </w:p>
        </w:tc>
        <w:tc>
          <w:tcPr>
            <w:tcW w:w="1632" w:type="dxa"/>
            <w:vMerge w:val="continue"/>
            <w:vAlign w:val="center"/>
          </w:tcPr>
          <w:p w14:paraId="1C893233">
            <w:pPr>
              <w:spacing w:line="240" w:lineRule="exact"/>
              <w:rPr>
                <w:rFonts w:ascii="仿宋" w:hAnsi="仿宋" w:eastAsia="仿宋"/>
                <w:sz w:val="22"/>
                <w:szCs w:val="24"/>
              </w:rPr>
            </w:pPr>
          </w:p>
        </w:tc>
      </w:tr>
      <w:tr w14:paraId="673C8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4C8A1615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3F5BED65">
            <w:pPr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.药物相互作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用所致不良反应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574FAD9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轻中度：一般无需调整用药剂量</w:t>
            </w:r>
          </w:p>
          <w:p w14:paraId="6252492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重度：需要调整剂量</w:t>
            </w:r>
          </w:p>
          <w:p w14:paraId="2911C298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禁忌：禁止在同一时段使用</w:t>
            </w:r>
          </w:p>
        </w:tc>
        <w:tc>
          <w:tcPr>
            <w:tcW w:w="1632" w:type="dxa"/>
            <w:vMerge w:val="continue"/>
            <w:vAlign w:val="center"/>
          </w:tcPr>
          <w:p w14:paraId="302C9CD8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43CD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4DB07808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7AFC06CA">
            <w:pPr>
              <w:tabs>
                <w:tab w:val="left" w:pos="312"/>
              </w:tabs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4.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药物过量处理</w:t>
            </w:r>
          </w:p>
          <w:p w14:paraId="07A03C4C">
            <w:pPr>
              <w:tabs>
                <w:tab w:val="left" w:pos="312"/>
              </w:tabs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可多选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)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7B02C6C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有明确的超量剂量提示</w:t>
            </w:r>
          </w:p>
          <w:p w14:paraId="742780C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有特异的解毒剂/拮抗剂</w:t>
            </w:r>
          </w:p>
          <w:p w14:paraId="4ED5FAF7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有效的药物清除途径（血液透析等）</w:t>
            </w:r>
          </w:p>
        </w:tc>
        <w:tc>
          <w:tcPr>
            <w:tcW w:w="1632" w:type="dxa"/>
            <w:vMerge w:val="continue"/>
            <w:vAlign w:val="center"/>
          </w:tcPr>
          <w:p w14:paraId="72576F00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72002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713" w:type="dxa"/>
            <w:vMerge w:val="continue"/>
            <w:vAlign w:val="center"/>
          </w:tcPr>
          <w:p w14:paraId="169C9F8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64C0334D">
            <w:pPr>
              <w:tabs>
                <w:tab w:val="left" w:pos="312"/>
              </w:tabs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ascii="仿宋" w:hAnsi="仿宋" w:eastAsia="仿宋"/>
                <w:b/>
                <w:sz w:val="24"/>
                <w:szCs w:val="24"/>
              </w:rPr>
              <w:t>5.其他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安全信息</w:t>
            </w:r>
          </w:p>
          <w:p w14:paraId="487A71F5">
            <w:pPr>
              <w:ind w:firstLine="240" w:firstLineChars="100"/>
              <w:jc w:val="left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可多选</w:t>
            </w:r>
            <w:r>
              <w:rPr>
                <w:rFonts w:hint="eastAsia" w:ascii="仿宋" w:hAnsi="仿宋" w:eastAsia="仿宋"/>
                <w:sz w:val="24"/>
                <w:szCs w:val="24"/>
              </w:rPr>
              <w:t xml:space="preserve">) 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08D9CA9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不良反应均为可逆性</w:t>
            </w:r>
          </w:p>
          <w:p w14:paraId="6F8A0AEA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无致畸致癌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致突变</w:t>
            </w:r>
          </w:p>
          <w:p w14:paraId="1A45F488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无特别用药警示</w:t>
            </w:r>
          </w:p>
          <w:p w14:paraId="3CD40CE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无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需常规血药浓度监测</w:t>
            </w:r>
          </w:p>
        </w:tc>
        <w:tc>
          <w:tcPr>
            <w:tcW w:w="1632" w:type="dxa"/>
            <w:vMerge w:val="continue"/>
            <w:vAlign w:val="center"/>
          </w:tcPr>
          <w:p w14:paraId="1AF3E331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181FD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8" w:hRule="atLeast"/>
        </w:trPr>
        <w:tc>
          <w:tcPr>
            <w:tcW w:w="713" w:type="dxa"/>
            <w:vMerge w:val="restart"/>
            <w:vAlign w:val="center"/>
          </w:tcPr>
          <w:p w14:paraId="15DF9370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经济性</w:t>
            </w:r>
          </w:p>
          <w:p w14:paraId="5FA5C422">
            <w:pPr>
              <w:jc w:val="center"/>
              <w:rPr>
                <w:rFonts w:hint="eastAsia" w:ascii="仿宋" w:hAnsi="仿宋" w:eastAsia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vAlign w:val="center"/>
          </w:tcPr>
          <w:p w14:paraId="0A29B19E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同品种药物</w:t>
            </w:r>
          </w:p>
          <w:p w14:paraId="13D97BB2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 xml:space="preserve">(主药成分与给药途径均相同) </w:t>
            </w:r>
          </w:p>
        </w:tc>
        <w:tc>
          <w:tcPr>
            <w:tcW w:w="5856" w:type="dxa"/>
            <w:gridSpan w:val="2"/>
            <w:vAlign w:val="center"/>
          </w:tcPr>
          <w:p w14:paraId="189C4E9D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与目录中同品种+同类比较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）</w:t>
            </w:r>
          </w:p>
          <w:p w14:paraId="23948D5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日均治疗费用最低</w:t>
            </w:r>
          </w:p>
          <w:p w14:paraId="38CCA2BF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日均治疗费用低于中位数</w:t>
            </w:r>
          </w:p>
          <w:p w14:paraId="0823B3B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日均治疗费用居中 </w:t>
            </w:r>
          </w:p>
          <w:p w14:paraId="138D969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日均治疗费用高于中位数 </w:t>
            </w:r>
          </w:p>
          <w:p w14:paraId="3BC6ABD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日均治疗费用最高</w:t>
            </w:r>
          </w:p>
          <w:p w14:paraId="035A2D39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与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主要适应症其他类可替代药品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比较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）</w:t>
            </w:r>
          </w:p>
          <w:p w14:paraId="43DB07C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日均治疗费用最低</w:t>
            </w:r>
          </w:p>
          <w:p w14:paraId="7CFC095E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日均治疗费用低于中位数</w:t>
            </w:r>
          </w:p>
          <w:p w14:paraId="75F65AB4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日均治疗费用居中 </w:t>
            </w:r>
          </w:p>
          <w:p w14:paraId="566EBCD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日均治疗费用高于中位数 </w:t>
            </w:r>
          </w:p>
          <w:p w14:paraId="531183F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日均治疗费用最高</w:t>
            </w:r>
          </w:p>
        </w:tc>
        <w:tc>
          <w:tcPr>
            <w:tcW w:w="1632" w:type="dxa"/>
            <w:vAlign w:val="center"/>
          </w:tcPr>
          <w:p w14:paraId="2E888CA6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7769D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65293F3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vAlign w:val="center"/>
          </w:tcPr>
          <w:p w14:paraId="4E3D3198">
            <w:pPr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非同品种药物</w:t>
            </w:r>
          </w:p>
          <w:p w14:paraId="29BF968F">
            <w:pPr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(目录中无相同或同类品种</w:t>
            </w:r>
            <w:r>
              <w:rPr>
                <w:rFonts w:ascii="仿宋" w:hAnsi="仿宋" w:eastAsia="仿宋"/>
                <w:sz w:val="24"/>
                <w:szCs w:val="24"/>
              </w:rPr>
              <w:t>)</w:t>
            </w:r>
          </w:p>
        </w:tc>
        <w:tc>
          <w:tcPr>
            <w:tcW w:w="5856" w:type="dxa"/>
            <w:gridSpan w:val="2"/>
            <w:vAlign w:val="center"/>
          </w:tcPr>
          <w:p w14:paraId="6A4DA867">
            <w:pPr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（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与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主要适应症其他类可替代药品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比较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）</w:t>
            </w:r>
          </w:p>
          <w:p w14:paraId="37F16755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日均治疗费用最低</w:t>
            </w:r>
          </w:p>
          <w:p w14:paraId="3DF6A11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日均治疗费用低于中位数</w:t>
            </w:r>
          </w:p>
          <w:p w14:paraId="4D82EB0E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日均治疗费用居中 </w:t>
            </w:r>
          </w:p>
          <w:p w14:paraId="0F8DCFFE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日均治疗费用高于中位数 </w:t>
            </w:r>
          </w:p>
          <w:p w14:paraId="4C973CD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仿宋" w:hAnsi="仿宋" w:eastAsia="仿宋"/>
                <w:sz w:val="24"/>
                <w:szCs w:val="24"/>
              </w:rPr>
              <w:t>日均治疗费用最高</w:t>
            </w:r>
          </w:p>
        </w:tc>
        <w:tc>
          <w:tcPr>
            <w:tcW w:w="1632" w:type="dxa"/>
            <w:vAlign w:val="center"/>
          </w:tcPr>
          <w:p w14:paraId="28AED73D">
            <w:pPr>
              <w:rPr>
                <w:rFonts w:hint="eastAsia" w:ascii="仿宋" w:hAnsi="仿宋" w:eastAsia="仿宋"/>
                <w:sz w:val="24"/>
                <w:szCs w:val="24"/>
              </w:rPr>
            </w:pPr>
          </w:p>
        </w:tc>
      </w:tr>
      <w:tr w14:paraId="02FE1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restart"/>
            <w:shd w:val="clear" w:color="auto" w:fill="auto"/>
            <w:vAlign w:val="center"/>
          </w:tcPr>
          <w:p w14:paraId="26A58956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社会</w:t>
            </w:r>
          </w:p>
          <w:p w14:paraId="6B128F81">
            <w:pPr>
              <w:jc w:val="center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属性</w:t>
            </w:r>
          </w:p>
          <w:p w14:paraId="4A944952">
            <w:pPr>
              <w:jc w:val="center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515" w:type="dxa"/>
            <w:shd w:val="clear" w:color="auto" w:fill="auto"/>
            <w:vAlign w:val="center"/>
          </w:tcPr>
          <w:p w14:paraId="2D04D30A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1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国家医保品种</w:t>
            </w:r>
          </w:p>
          <w:p w14:paraId="32CBC768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vAlign w:val="center"/>
          </w:tcPr>
          <w:p w14:paraId="7FC2452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国家医保甲类，且无支付限制条件</w:t>
            </w:r>
          </w:p>
          <w:p w14:paraId="57DCB3B0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国家医保甲类，有支付限制条件</w:t>
            </w:r>
          </w:p>
          <w:p w14:paraId="4A7B8658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国家医保乙类，且无支付限制条件</w:t>
            </w:r>
          </w:p>
          <w:p w14:paraId="474C415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国家医保乙类，有支付限制条件</w:t>
            </w:r>
          </w:p>
          <w:p w14:paraId="597B519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不在国家医保目录</w:t>
            </w:r>
          </w:p>
        </w:tc>
        <w:tc>
          <w:tcPr>
            <w:tcW w:w="1632" w:type="dxa"/>
            <w:vAlign w:val="center"/>
          </w:tcPr>
          <w:p w14:paraId="1185E485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请提供新版医保目录本品种页面，盖鲜章</w:t>
            </w:r>
          </w:p>
        </w:tc>
      </w:tr>
      <w:tr w14:paraId="48AB57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58FFB608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3DDA8559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2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国家基本药物</w:t>
            </w:r>
          </w:p>
          <w:p w14:paraId="31508613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vAlign w:val="center"/>
          </w:tcPr>
          <w:p w14:paraId="55A78D1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在国家基本药物目录，没有△要求</w:t>
            </w:r>
          </w:p>
          <w:p w14:paraId="4F0D0B29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在国家基本药物目录，有△要求</w:t>
            </w:r>
          </w:p>
          <w:p w14:paraId="402B4C87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不在国家基本药物目录</w:t>
            </w:r>
          </w:p>
          <w:p w14:paraId="4FF466A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2"/>
                <w:szCs w:val="24"/>
              </w:rPr>
              <w:t>（△表示药品应在具备相应处方资质医师或在专科医师指导下使用，并加强使用监测和评价）</w:t>
            </w:r>
          </w:p>
        </w:tc>
        <w:tc>
          <w:tcPr>
            <w:tcW w:w="1632" w:type="dxa"/>
            <w:vAlign w:val="center"/>
          </w:tcPr>
          <w:p w14:paraId="4CFBA898">
            <w:pPr>
              <w:rPr>
                <w:rFonts w:hint="eastAsia" w:ascii="仿宋" w:hAnsi="仿宋" w:eastAsia="仿宋"/>
                <w:sz w:val="22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请提供基药目录本品种页面，盖鲜章</w:t>
            </w:r>
          </w:p>
        </w:tc>
      </w:tr>
      <w:tr w14:paraId="30375B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7FD407E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46993D96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3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全球使用情况</w:t>
            </w:r>
          </w:p>
          <w:p w14:paraId="543BF003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vAlign w:val="center"/>
          </w:tcPr>
          <w:p w14:paraId="0F94917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美国、欧洲、日本均已上市</w:t>
            </w:r>
          </w:p>
          <w:p w14:paraId="5F56F72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美国或欧洲或日本上市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</w:p>
          <w:p w14:paraId="102EC157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美国、欧洲、日本均未上市</w:t>
            </w:r>
          </w:p>
        </w:tc>
        <w:tc>
          <w:tcPr>
            <w:tcW w:w="1632" w:type="dxa"/>
            <w:vAlign w:val="center"/>
          </w:tcPr>
          <w:p w14:paraId="2318935E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72020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3615ACDB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7F471EFC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4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生产企业状况</w:t>
            </w:r>
          </w:p>
          <w:p w14:paraId="04BE5A60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</w:p>
        </w:tc>
        <w:tc>
          <w:tcPr>
            <w:tcW w:w="5856" w:type="dxa"/>
            <w:gridSpan w:val="2"/>
            <w:vAlign w:val="center"/>
          </w:tcPr>
          <w:p w14:paraId="7E38CDA3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世界销量前</w:t>
            </w:r>
            <w:r>
              <w:rPr>
                <w:rFonts w:ascii="仿宋" w:hAnsi="仿宋" w:eastAsia="仿宋"/>
                <w:sz w:val="24"/>
                <w:szCs w:val="24"/>
              </w:rPr>
              <w:t>50制药企业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(</w:t>
            </w:r>
            <w:r>
              <w:rPr>
                <w:rFonts w:ascii="仿宋" w:hAnsi="仿宋" w:eastAsia="仿宋"/>
                <w:sz w:val="24"/>
                <w:szCs w:val="24"/>
              </w:rPr>
              <w:t>美国制药经理人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)</w:t>
            </w:r>
          </w:p>
          <w:p w14:paraId="1886C71A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工信部医院工业百强榜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</w:p>
          <w:p w14:paraId="79CC5AD6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其他企业</w:t>
            </w:r>
          </w:p>
        </w:tc>
        <w:tc>
          <w:tcPr>
            <w:tcW w:w="1632" w:type="dxa"/>
            <w:vAlign w:val="center"/>
          </w:tcPr>
          <w:p w14:paraId="2CC10AC4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4EE7F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3" w:type="dxa"/>
            <w:vMerge w:val="continue"/>
            <w:vAlign w:val="center"/>
          </w:tcPr>
          <w:p w14:paraId="4224382A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1D595598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5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一致性评价</w:t>
            </w:r>
          </w:p>
          <w:p w14:paraId="141EA90B">
            <w:pPr>
              <w:spacing w:line="276" w:lineRule="auto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3338AD6D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原研药品</w:t>
            </w:r>
            <w:r>
              <w:rPr>
                <w:rFonts w:ascii="仿宋" w:hAnsi="仿宋" w:eastAsia="仿宋"/>
                <w:sz w:val="24"/>
                <w:szCs w:val="24"/>
              </w:rPr>
              <w:t>/参比药品/一级中药保护品种</w:t>
            </w:r>
          </w:p>
          <w:p w14:paraId="2FF2C7BA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通过一致性评价仿制药品</w:t>
            </w:r>
            <w:r>
              <w:rPr>
                <w:rFonts w:ascii="仿宋" w:hAnsi="仿宋" w:eastAsia="仿宋"/>
                <w:sz w:val="24"/>
                <w:szCs w:val="24"/>
              </w:rPr>
              <w:t>/二级中药保护品种</w:t>
            </w:r>
          </w:p>
          <w:p w14:paraId="4AD5A7A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非原研或未通过一致性评价药品</w:t>
            </w:r>
          </w:p>
        </w:tc>
        <w:tc>
          <w:tcPr>
            <w:tcW w:w="1632" w:type="dxa"/>
            <w:vAlign w:val="center"/>
          </w:tcPr>
          <w:p w14:paraId="664B6E4D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  <w:tr w14:paraId="2E464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713" w:type="dxa"/>
            <w:vMerge w:val="continue"/>
            <w:vAlign w:val="center"/>
          </w:tcPr>
          <w:p w14:paraId="118C3BAF">
            <w:pPr>
              <w:jc w:val="center"/>
              <w:rPr>
                <w:rFonts w:ascii="仿宋" w:hAnsi="仿宋" w:eastAsia="仿宋"/>
                <w:sz w:val="24"/>
                <w:szCs w:val="24"/>
              </w:rPr>
            </w:pPr>
          </w:p>
        </w:tc>
        <w:tc>
          <w:tcPr>
            <w:tcW w:w="1515" w:type="dxa"/>
            <w:shd w:val="clear" w:color="auto" w:fill="auto"/>
            <w:vAlign w:val="center"/>
          </w:tcPr>
          <w:p w14:paraId="59582EB4">
            <w:pPr>
              <w:spacing w:line="276" w:lineRule="auto"/>
              <w:jc w:val="left"/>
              <w:rPr>
                <w:rFonts w:ascii="仿宋" w:hAnsi="仿宋" w:eastAsia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6</w:t>
            </w:r>
            <w:r>
              <w:rPr>
                <w:rFonts w:ascii="仿宋" w:hAnsi="仿宋" w:eastAsia="仿宋"/>
                <w:b/>
                <w:sz w:val="24"/>
                <w:szCs w:val="24"/>
              </w:rPr>
              <w:t>.</w:t>
            </w:r>
            <w:r>
              <w:rPr>
                <w:rFonts w:hint="eastAsia" w:ascii="仿宋" w:hAnsi="仿宋" w:eastAsia="仿宋"/>
                <w:b/>
                <w:sz w:val="24"/>
                <w:szCs w:val="24"/>
              </w:rPr>
              <w:t>国家政策文件</w:t>
            </w:r>
          </w:p>
          <w:p w14:paraId="32B71362">
            <w:pPr>
              <w:spacing w:line="276" w:lineRule="auto"/>
              <w:jc w:val="left"/>
              <w:rPr>
                <w:rFonts w:hint="eastAsia" w:ascii="仿宋" w:hAnsi="仿宋" w:eastAsia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国谈/集采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5856" w:type="dxa"/>
            <w:gridSpan w:val="2"/>
            <w:vAlign w:val="center"/>
          </w:tcPr>
          <w:p w14:paraId="3B42FC92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临床必需、无替代品种</w:t>
            </w:r>
          </w:p>
          <w:p w14:paraId="77C1F4DB">
            <w:pPr>
              <w:rPr>
                <w:rFonts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</w:rPr>
              <w:t>□</w:t>
            </w:r>
            <w:r>
              <w:rPr>
                <w:rFonts w:hint="eastAsia" w:ascii="仿宋" w:hAnsi="仿宋" w:eastAsia="仿宋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ascii="仿宋" w:hAnsi="仿宋" w:eastAsia="仿宋"/>
                <w:sz w:val="24"/>
                <w:szCs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  <w:szCs w:val="24"/>
              </w:rPr>
              <w:t>临床必需、有替代品种</w:t>
            </w:r>
          </w:p>
        </w:tc>
        <w:tc>
          <w:tcPr>
            <w:tcW w:w="1632" w:type="dxa"/>
            <w:vAlign w:val="center"/>
          </w:tcPr>
          <w:p w14:paraId="165797AB">
            <w:pPr>
              <w:rPr>
                <w:rFonts w:hint="eastAsia" w:ascii="仿宋" w:hAnsi="仿宋" w:eastAsia="仿宋"/>
                <w:sz w:val="24"/>
                <w:szCs w:val="24"/>
              </w:rPr>
            </w:pPr>
            <w:r>
              <w:rPr>
                <w:rFonts w:hint="eastAsia" w:ascii="仿宋" w:hAnsi="仿宋" w:eastAsia="仿宋"/>
                <w:sz w:val="24"/>
                <w:szCs w:val="24"/>
                <w:lang w:eastAsia="zh-CN"/>
              </w:rPr>
              <w:t>请提供印证资料，盖鲜章</w:t>
            </w:r>
          </w:p>
        </w:tc>
      </w:tr>
    </w:tbl>
    <w:p w14:paraId="42A70888">
      <w:pPr>
        <w:rPr>
          <w:rFonts w:ascii="仿宋" w:hAnsi="仿宋" w:eastAsia="仿宋"/>
          <w:bCs/>
          <w:sz w:val="24"/>
          <w:szCs w:val="28"/>
        </w:rPr>
      </w:pPr>
    </w:p>
    <w:p w14:paraId="79BAF0A0">
      <w:pPr>
        <w:rPr>
          <w:rFonts w:ascii="仿宋" w:hAnsi="仿宋" w:eastAsia="仿宋"/>
        </w:rPr>
      </w:pPr>
      <w:r>
        <w:rPr>
          <w:rFonts w:hint="eastAsia" w:ascii="仿宋" w:hAnsi="仿宋" w:eastAsia="仿宋"/>
          <w:bCs/>
          <w:sz w:val="24"/>
          <w:szCs w:val="28"/>
        </w:rPr>
        <w:t>附1：循证证据分级水平和推荐标准</w:t>
      </w:r>
    </w:p>
    <w:p w14:paraId="450A7449">
      <w:pPr>
        <w:rPr>
          <w:rFonts w:ascii="仿宋" w:hAnsi="仿宋" w:eastAsia="仿宋"/>
        </w:rPr>
      </w:pPr>
      <w:r>
        <w:rPr>
          <w:rFonts w:hint="eastAsia" w:ascii="仿宋" w:hAnsi="仿宋" w:eastAsia="仿宋"/>
          <w:bCs/>
          <w:sz w:val="24"/>
          <w:szCs w:val="28"/>
        </w:rPr>
        <w:t>附</w:t>
      </w:r>
      <w:r>
        <w:rPr>
          <w:rFonts w:ascii="仿宋" w:hAnsi="仿宋" w:eastAsia="仿宋"/>
          <w:bCs/>
          <w:sz w:val="24"/>
          <w:szCs w:val="28"/>
        </w:rPr>
        <w:t>2</w:t>
      </w:r>
      <w:r>
        <w:rPr>
          <w:rFonts w:hint="eastAsia" w:ascii="仿宋" w:hAnsi="仿宋" w:eastAsia="仿宋"/>
          <w:bCs/>
          <w:sz w:val="24"/>
          <w:szCs w:val="28"/>
        </w:rPr>
        <w:t>：妊娠期/哺乳期用药安全等级</w:t>
      </w:r>
    </w:p>
    <w:p w14:paraId="176F899A"/>
    <w:p w14:paraId="18252B8E">
      <w:pPr>
        <w:jc w:val="left"/>
        <w:rPr>
          <w:rFonts w:ascii="黑体" w:hAnsi="黑体" w:eastAsia="黑体"/>
          <w:b/>
          <w:sz w:val="40"/>
        </w:rPr>
      </w:pPr>
      <w:bookmarkStart w:id="0" w:name="_Hlk65491874"/>
      <w:r>
        <w:rPr>
          <w:rFonts w:hint="eastAsia"/>
          <w:b/>
          <w:bCs/>
          <w:sz w:val="24"/>
          <w:szCs w:val="28"/>
        </w:rPr>
        <w:t>附1：循证证据分级水平和推荐标准</w:t>
      </w:r>
      <w:bookmarkEnd w:id="0"/>
      <w:r>
        <w:rPr>
          <w:rFonts w:ascii="黑体" w:hAnsi="黑体" w:eastAsia="黑体"/>
          <w:b/>
          <w:sz w:val="40"/>
        </w:rPr>
        <w:drawing>
          <wp:inline distT="0" distB="0" distL="0" distR="0">
            <wp:extent cx="6206490" cy="264795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984" cy="26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C3D9">
      <w:pPr>
        <w:rPr>
          <w:rFonts w:ascii="黑体" w:hAnsi="黑体" w:eastAsia="黑体"/>
          <w:b/>
          <w:sz w:val="40"/>
        </w:rPr>
      </w:pPr>
      <w:r>
        <w:rPr>
          <w:rFonts w:ascii="黑体" w:hAnsi="黑体" w:eastAsia="黑体"/>
          <w:b/>
          <w:sz w:val="40"/>
        </w:rPr>
        <w:drawing>
          <wp:inline distT="0" distB="0" distL="0" distR="0">
            <wp:extent cx="6105525" cy="2219325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679" cy="222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70437"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3548380" cy="28289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969" cy="28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B1675">
      <w:pPr>
        <w:rPr>
          <w:b/>
          <w:bCs/>
          <w:sz w:val="24"/>
          <w:szCs w:val="28"/>
        </w:rPr>
      </w:pPr>
      <w:bookmarkStart w:id="1" w:name="_GoBack"/>
      <w:bookmarkEnd w:id="1"/>
    </w:p>
    <w:p w14:paraId="5FC3C128">
      <w:pPr>
        <w:rPr>
          <w:b/>
          <w:bCs/>
          <w:sz w:val="24"/>
          <w:szCs w:val="28"/>
        </w:rPr>
      </w:pPr>
    </w:p>
    <w:p w14:paraId="2E08CB52">
      <w:pPr>
        <w:jc w:val="left"/>
      </w:pPr>
      <w:r>
        <w:rPr>
          <w:rFonts w:hint="eastAsia"/>
          <w:b/>
          <w:bCs/>
          <w:sz w:val="24"/>
          <w:szCs w:val="28"/>
        </w:rPr>
        <w:t>附</w:t>
      </w:r>
      <w:r>
        <w:rPr>
          <w:b/>
          <w:bCs/>
          <w:sz w:val="24"/>
          <w:szCs w:val="28"/>
        </w:rPr>
        <w:t>2</w:t>
      </w:r>
      <w:r>
        <w:rPr>
          <w:rFonts w:hint="eastAsia"/>
          <w:b/>
          <w:bCs/>
          <w:sz w:val="24"/>
          <w:szCs w:val="28"/>
        </w:rPr>
        <w:t>：妊娠期/哺乳期用药安全等级</w:t>
      </w:r>
      <w:r>
        <w:rPr>
          <w:rFonts w:hint="eastAsia"/>
        </w:rPr>
        <w:drawing>
          <wp:inline distT="0" distB="0" distL="0" distR="0">
            <wp:extent cx="6123305" cy="30194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1139" cy="30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1133" w:bottom="709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dhNjA0YWE2MTI4NTMzMWQ5MGYwMGRlNDAyMDllNmYifQ=="/>
  </w:docVars>
  <w:rsids>
    <w:rsidRoot w:val="00852602"/>
    <w:rsid w:val="00111395"/>
    <w:rsid w:val="001A3500"/>
    <w:rsid w:val="001C1633"/>
    <w:rsid w:val="00216C65"/>
    <w:rsid w:val="00273EBE"/>
    <w:rsid w:val="002D49FA"/>
    <w:rsid w:val="00314291"/>
    <w:rsid w:val="0031549E"/>
    <w:rsid w:val="003B6E64"/>
    <w:rsid w:val="003D08C0"/>
    <w:rsid w:val="003E5BEA"/>
    <w:rsid w:val="0045111A"/>
    <w:rsid w:val="00456C0E"/>
    <w:rsid w:val="004B5E16"/>
    <w:rsid w:val="00576147"/>
    <w:rsid w:val="0058249D"/>
    <w:rsid w:val="0066766F"/>
    <w:rsid w:val="00693817"/>
    <w:rsid w:val="006967E5"/>
    <w:rsid w:val="006C3E4F"/>
    <w:rsid w:val="00732B04"/>
    <w:rsid w:val="00747EDE"/>
    <w:rsid w:val="00756057"/>
    <w:rsid w:val="007B39E7"/>
    <w:rsid w:val="00827DEA"/>
    <w:rsid w:val="00834FCE"/>
    <w:rsid w:val="00852602"/>
    <w:rsid w:val="00887D17"/>
    <w:rsid w:val="008F14D4"/>
    <w:rsid w:val="00986090"/>
    <w:rsid w:val="009B5F31"/>
    <w:rsid w:val="009B765E"/>
    <w:rsid w:val="009D6CF8"/>
    <w:rsid w:val="009F29DE"/>
    <w:rsid w:val="00A02D34"/>
    <w:rsid w:val="00A3609E"/>
    <w:rsid w:val="00BB7B77"/>
    <w:rsid w:val="00BC3473"/>
    <w:rsid w:val="00BE746D"/>
    <w:rsid w:val="00C156A2"/>
    <w:rsid w:val="00CE23DC"/>
    <w:rsid w:val="00EF48E7"/>
    <w:rsid w:val="00F06718"/>
    <w:rsid w:val="00FA3D97"/>
    <w:rsid w:val="00FA7343"/>
    <w:rsid w:val="00FE6F96"/>
    <w:rsid w:val="0371113C"/>
    <w:rsid w:val="03A27D65"/>
    <w:rsid w:val="0C1B6EAA"/>
    <w:rsid w:val="150C7D15"/>
    <w:rsid w:val="18A6368B"/>
    <w:rsid w:val="2A0C5554"/>
    <w:rsid w:val="30724373"/>
    <w:rsid w:val="49440113"/>
    <w:rsid w:val="4CCB5428"/>
    <w:rsid w:val="67FC1404"/>
    <w:rsid w:val="6AF7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6.wdp"/><Relationship Id="rId8" Type="http://schemas.openxmlformats.org/officeDocument/2006/relationships/image" Target="media/image5.png"/><Relationship Id="rId7" Type="http://schemas.microsoft.com/office/2007/relationships/hdphoto" Target="media/image4.wdp"/><Relationship Id="rId6" Type="http://schemas.openxmlformats.org/officeDocument/2006/relationships/image" Target="media/image3.png"/><Relationship Id="rId5" Type="http://schemas.microsoft.com/office/2007/relationships/hdphoto" Target="media/image2.wd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microsoft.com/office/2007/relationships/hdphoto" Target="media/image8.wdp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2225</Words>
  <Characters>2377</Characters>
  <Lines>20</Lines>
  <Paragraphs>5</Paragraphs>
  <TotalTime>0</TotalTime>
  <ScaleCrop>false</ScaleCrop>
  <LinksUpToDate>false</LinksUpToDate>
  <CharactersWithSpaces>2642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2021-03-01T03:46:00Z</dcterms:created>
  <dc:creator>徐 勇军</dc:creator>
  <cp:lastModifiedBy>WPS_1704789508</cp:lastModifiedBy>
  <cp:lastPrinted>2021-03-02T03:06:00Z</cp:lastPrinted>
  <dcterms:modified xsi:type="dcterms:W3CDTF">2024-08-21T08:44:28Z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77AAC541CBA546E5921DB429DAADA701_12</vt:lpwstr>
  </property>
</Properties>
</file>